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E" w:rsidRPr="00107DEA" w:rsidRDefault="00053EBE" w:rsidP="0005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053EBE" w:rsidRPr="00107DEA" w:rsidRDefault="00053EBE" w:rsidP="0005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053EBE" w:rsidRPr="00107DEA" w:rsidRDefault="00053EBE" w:rsidP="0005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BE" w:rsidRPr="00107DEA" w:rsidRDefault="00053EBE" w:rsidP="00053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ПРОТОКОЛ</w:t>
      </w:r>
    </w:p>
    <w:p w:rsidR="00053EBE" w:rsidRPr="00107DEA" w:rsidRDefault="00053EBE" w:rsidP="00053E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053EBE" w:rsidRPr="00107DEA" w:rsidRDefault="00053EBE" w:rsidP="00053E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EBE" w:rsidRPr="00107DEA" w:rsidRDefault="004D3485" w:rsidP="0005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3EBE" w:rsidRPr="00107DEA">
        <w:rPr>
          <w:rFonts w:ascii="Times New Roman" w:hAnsi="Times New Roman" w:cs="Times New Roman"/>
          <w:sz w:val="28"/>
          <w:szCs w:val="28"/>
        </w:rPr>
        <w:t>.0</w:t>
      </w:r>
      <w:r w:rsidR="00053EBE">
        <w:rPr>
          <w:rFonts w:ascii="Times New Roman" w:hAnsi="Times New Roman" w:cs="Times New Roman"/>
          <w:sz w:val="28"/>
          <w:szCs w:val="28"/>
        </w:rPr>
        <w:t>7</w:t>
      </w:r>
      <w:r w:rsidR="00053EBE" w:rsidRPr="00107DEA">
        <w:rPr>
          <w:rFonts w:ascii="Times New Roman" w:hAnsi="Times New Roman" w:cs="Times New Roman"/>
          <w:sz w:val="28"/>
          <w:szCs w:val="28"/>
        </w:rPr>
        <w:t>.2022</w:t>
      </w:r>
      <w:r w:rsidR="00053EBE" w:rsidRPr="00107DE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53EBE">
        <w:rPr>
          <w:rFonts w:ascii="Times New Roman" w:hAnsi="Times New Roman" w:cs="Times New Roman"/>
        </w:rPr>
        <w:t xml:space="preserve">               </w:t>
      </w:r>
      <w:r w:rsidR="00053EBE" w:rsidRPr="00107DEA">
        <w:rPr>
          <w:rFonts w:ascii="Times New Roman" w:hAnsi="Times New Roman" w:cs="Times New Roman"/>
        </w:rPr>
        <w:t xml:space="preserve">     </w:t>
      </w:r>
      <w:r w:rsidR="00053EBE" w:rsidRPr="00107DEA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53EBE" w:rsidRPr="00465FDE" w:rsidRDefault="00053EBE" w:rsidP="000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DE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9B2">
        <w:rPr>
          <w:rFonts w:ascii="Times New Roman" w:hAnsi="Times New Roman" w:cs="Times New Roman"/>
          <w:sz w:val="28"/>
          <w:szCs w:val="28"/>
        </w:rPr>
        <w:t xml:space="preserve">информационном сопровождении застрахованных лиц, </w:t>
      </w:r>
      <w:r w:rsidR="00B82EED">
        <w:rPr>
          <w:rFonts w:ascii="Times New Roman" w:hAnsi="Times New Roman" w:cs="Times New Roman"/>
          <w:sz w:val="28"/>
          <w:szCs w:val="28"/>
        </w:rPr>
        <w:t>определенных под диспансерное</w:t>
      </w:r>
      <w:r w:rsidR="00FA69B2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B82EED">
        <w:rPr>
          <w:rFonts w:ascii="Times New Roman" w:hAnsi="Times New Roman" w:cs="Times New Roman"/>
          <w:sz w:val="28"/>
          <w:szCs w:val="28"/>
        </w:rPr>
        <w:t xml:space="preserve">, как одном из факторов снижения смертности и достижения национальной идеи по повышению ожидаемой продолжительности жизни населения, по данным </w:t>
      </w:r>
      <w:r w:rsidR="004D3485">
        <w:rPr>
          <w:rFonts w:ascii="Times New Roman" w:hAnsi="Times New Roman" w:cs="Times New Roman"/>
          <w:sz w:val="28"/>
          <w:szCs w:val="28"/>
        </w:rPr>
        <w:t xml:space="preserve">модуля «Диспансерное наблюдение» </w:t>
      </w:r>
      <w:r w:rsidR="00687FC6">
        <w:rPr>
          <w:rFonts w:ascii="Times New Roman" w:hAnsi="Times New Roman" w:cs="Times New Roman"/>
          <w:sz w:val="28"/>
          <w:szCs w:val="28"/>
        </w:rPr>
        <w:t>программного комплекса</w:t>
      </w:r>
      <w:r w:rsidR="00B82EED">
        <w:rPr>
          <w:rFonts w:ascii="Times New Roman" w:hAnsi="Times New Roman" w:cs="Times New Roman"/>
          <w:sz w:val="28"/>
          <w:szCs w:val="28"/>
        </w:rPr>
        <w:t xml:space="preserve"> по результатам профилактических мероприятий за 1 полугодие 2022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B82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5FDE">
        <w:rPr>
          <w:rFonts w:ascii="Times New Roman" w:hAnsi="Times New Roman" w:cs="Times New Roman"/>
          <w:sz w:val="28"/>
          <w:szCs w:val="28"/>
        </w:rPr>
        <w:t>».</w:t>
      </w:r>
    </w:p>
    <w:p w:rsidR="00053EBE" w:rsidRDefault="00053EBE" w:rsidP="00053EBE">
      <w:pPr>
        <w:pStyle w:val="a3"/>
        <w:ind w:left="1429"/>
        <w:jc w:val="both"/>
        <w:rPr>
          <w:b/>
          <w:color w:val="000000" w:themeColor="text1"/>
          <w:sz w:val="27"/>
          <w:szCs w:val="27"/>
        </w:rPr>
      </w:pPr>
    </w:p>
    <w:p w:rsidR="00687FC6" w:rsidRDefault="00687FC6" w:rsidP="006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7"/>
          <w:szCs w:val="27"/>
        </w:rPr>
        <w:tab/>
      </w:r>
      <w:proofErr w:type="gramStart"/>
      <w:r w:rsidRPr="00CF2D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Правилами ОМС</w:t>
      </w:r>
      <w:r w:rsidR="0086527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(пункты 265 и 266)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F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сопровождения застрахованных лиц,</w:t>
      </w:r>
      <w:r w:rsidRPr="00CF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под диспансерное наблюдение (далее - ДН), медицинская организация (далее - МО)</w:t>
      </w:r>
      <w:bookmarkStart w:id="0" w:name="Par0"/>
      <w:bookmarkEnd w:id="0"/>
      <w:r w:rsidRPr="00687FC6">
        <w:rPr>
          <w:rFonts w:ascii="Times New Roman" w:hAnsi="Times New Roman" w:cs="Times New Roman"/>
          <w:sz w:val="28"/>
          <w:szCs w:val="28"/>
        </w:rPr>
        <w:t xml:space="preserve"> </w:t>
      </w:r>
      <w:r w:rsidR="0086527A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 срок до 31 января вносит в моду</w:t>
      </w:r>
      <w:r w:rsidR="008652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 «Диспансерное наблюдение» </w:t>
      </w:r>
      <w:r w:rsidR="0086527A">
        <w:rPr>
          <w:rFonts w:ascii="Times New Roman" w:hAnsi="Times New Roman" w:cs="Times New Roman"/>
          <w:sz w:val="28"/>
          <w:szCs w:val="28"/>
        </w:rPr>
        <w:t xml:space="preserve">программного комплекса по результатам профилактических мероприятий (далее - </w:t>
      </w:r>
      <w:r w:rsidR="00CE4C70">
        <w:rPr>
          <w:rFonts w:ascii="Times New Roman" w:hAnsi="Times New Roman" w:cs="Times New Roman"/>
          <w:sz w:val="28"/>
          <w:szCs w:val="28"/>
        </w:rPr>
        <w:t>м</w:t>
      </w:r>
      <w:r w:rsidR="0086527A">
        <w:rPr>
          <w:rFonts w:ascii="Times New Roman" w:hAnsi="Times New Roman" w:cs="Times New Roman"/>
          <w:sz w:val="28"/>
          <w:szCs w:val="28"/>
        </w:rPr>
        <w:t xml:space="preserve">одуль «ДН») </w:t>
      </w:r>
      <w:r w:rsidR="006B4BBF">
        <w:rPr>
          <w:rFonts w:ascii="Times New Roman" w:hAnsi="Times New Roman" w:cs="Times New Roman"/>
          <w:sz w:val="28"/>
          <w:szCs w:val="28"/>
        </w:rPr>
        <w:t xml:space="preserve">персонифицированные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о лицах, находящихся под </w:t>
      </w:r>
      <w:r w:rsidR="006B4BBF">
        <w:rPr>
          <w:rFonts w:ascii="Times New Roman" w:hAnsi="Times New Roman" w:cs="Times New Roman"/>
          <w:sz w:val="28"/>
          <w:szCs w:val="28"/>
        </w:rPr>
        <w:t xml:space="preserve"> ДН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4BB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в текущем календарном году</w:t>
      </w:r>
      <w:r w:rsidR="006B4BBF">
        <w:rPr>
          <w:rFonts w:ascii="Times New Roman" w:hAnsi="Times New Roman" w:cs="Times New Roman"/>
          <w:sz w:val="28"/>
          <w:szCs w:val="28"/>
        </w:rPr>
        <w:t>, включающие в</w:t>
      </w:r>
      <w:proofErr w:type="gramEnd"/>
      <w:r w:rsidR="006B4BBF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>диагноз заболевания, по поводу которого застрахованное лицо находится под</w:t>
      </w:r>
      <w:r w:rsidR="006B4BB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6B4B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включения застрахованного лица в</w:t>
      </w:r>
      <w:r w:rsidR="006B4BBF">
        <w:rPr>
          <w:rFonts w:ascii="Times New Roman" w:hAnsi="Times New Roman" w:cs="Times New Roman"/>
          <w:sz w:val="28"/>
          <w:szCs w:val="28"/>
        </w:rPr>
        <w:t xml:space="preserve"> группу ДН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диспансерного осмотра</w:t>
      </w:r>
      <w:r w:rsidR="006B4BB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код медицинского работника, осуществляющего </w:t>
      </w:r>
      <w:r w:rsidR="006B4BBF">
        <w:rPr>
          <w:rFonts w:ascii="Times New Roman" w:hAnsi="Times New Roman" w:cs="Times New Roman"/>
          <w:sz w:val="28"/>
          <w:szCs w:val="28"/>
        </w:rPr>
        <w:t xml:space="preserve">ДН </w:t>
      </w:r>
      <w:r>
        <w:rPr>
          <w:rFonts w:ascii="Times New Roman" w:hAnsi="Times New Roman" w:cs="Times New Roman"/>
          <w:sz w:val="28"/>
          <w:szCs w:val="28"/>
        </w:rPr>
        <w:t>застрахованного лица</w:t>
      </w:r>
      <w:r w:rsidR="006B4BBF">
        <w:rPr>
          <w:rFonts w:ascii="Times New Roman" w:hAnsi="Times New Roman" w:cs="Times New Roman"/>
          <w:sz w:val="28"/>
          <w:szCs w:val="28"/>
        </w:rPr>
        <w:t>, и др.</w:t>
      </w:r>
    </w:p>
    <w:p w:rsidR="00CE4C70" w:rsidRPr="006B4BBF" w:rsidRDefault="00CE4C70" w:rsidP="00CE4C7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На 31.01.2022</w:t>
      </w:r>
      <w:r w:rsidRPr="006B4BBF">
        <w:rPr>
          <w:sz w:val="28"/>
          <w:szCs w:val="28"/>
        </w:rPr>
        <w:t xml:space="preserve"> списки загружены в ПК по профилактическим мероприятиям (модуль «ДН») 32 МО.</w:t>
      </w:r>
    </w:p>
    <w:p w:rsidR="00CE4C70" w:rsidRPr="006B4BBF" w:rsidRDefault="00CE4C70" w:rsidP="00CE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6B4BBF">
        <w:rPr>
          <w:rFonts w:ascii="Times New Roman" w:hAnsi="Times New Roman" w:cs="Times New Roman"/>
          <w:sz w:val="28"/>
          <w:szCs w:val="28"/>
        </w:rPr>
        <w:t>не исполнили требования нормативных правовых документов</w:t>
      </w:r>
      <w:r w:rsidRPr="006B4BB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B4BBF">
        <w:rPr>
          <w:rFonts w:ascii="Times New Roman" w:hAnsi="Times New Roman" w:cs="Times New Roman"/>
          <w:sz w:val="28"/>
          <w:szCs w:val="28"/>
        </w:rPr>
        <w:t xml:space="preserve"> и не загрузили списки по ДН в установленный срок: 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КГБУЗ «</w:t>
      </w:r>
      <w:proofErr w:type="spellStart"/>
      <w:r w:rsidRPr="006B4BBF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6B4BBF">
        <w:rPr>
          <w:rFonts w:ascii="Times New Roman" w:hAnsi="Times New Roman" w:cs="Times New Roman"/>
          <w:sz w:val="28"/>
          <w:szCs w:val="28"/>
        </w:rPr>
        <w:t xml:space="preserve"> ЦРБ» (дата загрузки – 02.02.2022); 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ФКУЗ МСЧ России по Хабаровскому краю (дата загрузки – 18.02.2022);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КГБУЗ ГП № 11 (дата загрузки – 21.02.2022);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- КГБУЗ «Хабаровская РБ» (дата загрузки – 24.03.2022); 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- КГБУЗ «РБ Лазо» (дата загрузки – 25.03.2022); </w:t>
      </w:r>
    </w:p>
    <w:p w:rsidR="00CE4C70" w:rsidRPr="006B4BBF" w:rsidRDefault="00CE4C70" w:rsidP="00CE4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КГБУЗ «</w:t>
      </w:r>
      <w:proofErr w:type="spellStart"/>
      <w:r w:rsidRPr="006B4BBF">
        <w:rPr>
          <w:rFonts w:ascii="Times New Roman" w:hAnsi="Times New Roman" w:cs="Times New Roman"/>
          <w:sz w:val="28"/>
          <w:szCs w:val="28"/>
        </w:rPr>
        <w:t>Бикинская</w:t>
      </w:r>
      <w:proofErr w:type="spellEnd"/>
      <w:r w:rsidRPr="006B4BBF">
        <w:rPr>
          <w:rFonts w:ascii="Times New Roman" w:hAnsi="Times New Roman" w:cs="Times New Roman"/>
          <w:sz w:val="28"/>
          <w:szCs w:val="28"/>
        </w:rPr>
        <w:t xml:space="preserve"> ЦРБ» (дата загрузки – 06.04.2022).</w:t>
      </w:r>
    </w:p>
    <w:p w:rsidR="00CE4C70" w:rsidRPr="006B4BBF" w:rsidRDefault="00CE4C70" w:rsidP="00CE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B4BB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B4BBF">
        <w:rPr>
          <w:rFonts w:ascii="Times New Roman" w:hAnsi="Times New Roman" w:cs="Times New Roman"/>
          <w:sz w:val="28"/>
          <w:szCs w:val="28"/>
        </w:rPr>
        <w:t xml:space="preserve"> 100% загрузка списков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6B4BBF">
        <w:rPr>
          <w:rFonts w:ascii="Times New Roman" w:hAnsi="Times New Roman" w:cs="Times New Roman"/>
          <w:sz w:val="28"/>
          <w:szCs w:val="28"/>
        </w:rPr>
        <w:t>завершена 06.04.2022.</w:t>
      </w:r>
    </w:p>
    <w:p w:rsidR="00CE4C70" w:rsidRPr="00703BCB" w:rsidRDefault="00CE4C70" w:rsidP="006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E" w:rsidRPr="006B4BBF" w:rsidRDefault="00B82EED" w:rsidP="006B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7"/>
          <w:szCs w:val="27"/>
        </w:rPr>
        <w:lastRenderedPageBreak/>
        <w:tab/>
      </w:r>
      <w:r w:rsidR="006B4BBF" w:rsidRPr="00CE4C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53EBE" w:rsidRPr="006B4BBF">
        <w:rPr>
          <w:rFonts w:ascii="Times New Roman" w:hAnsi="Times New Roman" w:cs="Times New Roman"/>
          <w:sz w:val="28"/>
          <w:szCs w:val="28"/>
        </w:rPr>
        <w:t xml:space="preserve">о состоянию на 25.07.2021 количество застрахованных лиц, подлежащих </w:t>
      </w:r>
      <w:r w:rsidR="006B4BBF">
        <w:rPr>
          <w:rFonts w:ascii="Times New Roman" w:hAnsi="Times New Roman" w:cs="Times New Roman"/>
          <w:sz w:val="28"/>
          <w:szCs w:val="28"/>
        </w:rPr>
        <w:t xml:space="preserve">ДН </w:t>
      </w:r>
      <w:r w:rsidR="00053EBE" w:rsidRPr="006B4BBF">
        <w:rPr>
          <w:rFonts w:ascii="Times New Roman" w:hAnsi="Times New Roman" w:cs="Times New Roman"/>
          <w:sz w:val="28"/>
          <w:szCs w:val="28"/>
        </w:rPr>
        <w:t>и загруженных в</w:t>
      </w:r>
      <w:r w:rsidR="00CE4C70">
        <w:rPr>
          <w:rFonts w:ascii="Times New Roman" w:hAnsi="Times New Roman" w:cs="Times New Roman"/>
          <w:sz w:val="28"/>
          <w:szCs w:val="28"/>
        </w:rPr>
        <w:t xml:space="preserve"> модуль «ДН»</w:t>
      </w:r>
      <w:r w:rsidR="00053EBE" w:rsidRPr="006B4BBF">
        <w:rPr>
          <w:rFonts w:ascii="Times New Roman" w:hAnsi="Times New Roman" w:cs="Times New Roman"/>
          <w:sz w:val="28"/>
          <w:szCs w:val="28"/>
        </w:rPr>
        <w:t xml:space="preserve"> - 198 045 чел., что составляет 83% от показателей, установленных в качестве плановых для федеральной отчетности по диспансерному наблюдению - 240 044 чел.</w:t>
      </w:r>
      <w:r w:rsidR="00053EBE" w:rsidRPr="006B4BB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053EBE" w:rsidRPr="006B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BE" w:rsidRPr="006B4BBF" w:rsidRDefault="00053EBE" w:rsidP="006B4BBF">
      <w:pPr>
        <w:pStyle w:val="a3"/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 xml:space="preserve">В результате ежемесячной актуализации списков </w:t>
      </w:r>
      <w:r w:rsidR="006B4BBF">
        <w:rPr>
          <w:sz w:val="28"/>
          <w:szCs w:val="28"/>
        </w:rPr>
        <w:t xml:space="preserve">страховыми представителями Хабаровского филиала АО «Страховая компания «СОГАЗ-Мед» (далее – Филиал, </w:t>
      </w:r>
      <w:r w:rsidRPr="006B4BBF">
        <w:rPr>
          <w:sz w:val="28"/>
          <w:szCs w:val="28"/>
        </w:rPr>
        <w:t>СМО</w:t>
      </w:r>
      <w:r w:rsidR="006B4BBF">
        <w:rPr>
          <w:sz w:val="28"/>
          <w:szCs w:val="28"/>
        </w:rPr>
        <w:t>)</w:t>
      </w:r>
      <w:r w:rsidRPr="006B4BBF">
        <w:rPr>
          <w:sz w:val="28"/>
          <w:szCs w:val="28"/>
        </w:rPr>
        <w:t xml:space="preserve"> (по </w:t>
      </w:r>
      <w:r w:rsidR="00CE4C70">
        <w:rPr>
          <w:sz w:val="28"/>
          <w:szCs w:val="28"/>
        </w:rPr>
        <w:t xml:space="preserve">принятым к оплате </w:t>
      </w:r>
      <w:r w:rsidRPr="006B4BBF">
        <w:rPr>
          <w:sz w:val="28"/>
          <w:szCs w:val="28"/>
        </w:rPr>
        <w:t>реестрам счетам от МО) и направлением их в МО для последующего анализа данных и загрузки в модуль «ДН»; направления Фондом в адрес СМО информации о лицах, подлежащих ДН, число сведений о</w:t>
      </w:r>
      <w:r w:rsidR="00CE4C70">
        <w:rPr>
          <w:sz w:val="28"/>
          <w:szCs w:val="28"/>
        </w:rPr>
        <w:t xml:space="preserve"> застрахованных лицах</w:t>
      </w:r>
      <w:r w:rsidRPr="006B4BBF">
        <w:rPr>
          <w:sz w:val="28"/>
          <w:szCs w:val="28"/>
        </w:rPr>
        <w:t>, внесенных в модуль «ДН» увеличилось с 127 500 чел. на начало 2022 года до 198 045 чел. по состоянию на 01.07.2022 (рост на 70 545 чел. или на 55%).</w:t>
      </w:r>
    </w:p>
    <w:p w:rsidR="00053EBE" w:rsidRPr="006B4BBF" w:rsidRDefault="00053EBE" w:rsidP="006B4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Из числа застрахованных лиц, взятых на </w:t>
      </w:r>
      <w:r w:rsidR="00CE4C70">
        <w:rPr>
          <w:rFonts w:ascii="Times New Roman" w:hAnsi="Times New Roman" w:cs="Times New Roman"/>
          <w:sz w:val="28"/>
          <w:szCs w:val="28"/>
        </w:rPr>
        <w:t xml:space="preserve"> ДН </w:t>
      </w:r>
      <w:r w:rsidRPr="006B4BBF">
        <w:rPr>
          <w:rFonts w:ascii="Times New Roman" w:hAnsi="Times New Roman" w:cs="Times New Roman"/>
          <w:sz w:val="28"/>
          <w:szCs w:val="28"/>
        </w:rPr>
        <w:t>на 2022 год по</w:t>
      </w:r>
      <w:r w:rsidR="00CE4C70">
        <w:rPr>
          <w:rFonts w:ascii="Times New Roman" w:hAnsi="Times New Roman" w:cs="Times New Roman"/>
          <w:sz w:val="28"/>
          <w:szCs w:val="28"/>
        </w:rPr>
        <w:t xml:space="preserve"> модуля «ДН»</w:t>
      </w:r>
      <w:r w:rsidRPr="006B4BBF">
        <w:rPr>
          <w:rFonts w:ascii="Times New Roman" w:hAnsi="Times New Roman" w:cs="Times New Roman"/>
          <w:sz w:val="28"/>
          <w:szCs w:val="28"/>
        </w:rPr>
        <w:t xml:space="preserve">, удельный вес пациентов с </w:t>
      </w:r>
      <w:proofErr w:type="spellStart"/>
      <w:r w:rsidRPr="006B4BBF">
        <w:rPr>
          <w:rFonts w:ascii="Times New Roman" w:hAnsi="Times New Roman" w:cs="Times New Roman"/>
          <w:sz w:val="28"/>
          <w:szCs w:val="28"/>
        </w:rPr>
        <w:t>онкопатологией</w:t>
      </w:r>
      <w:proofErr w:type="spellEnd"/>
      <w:r w:rsidRPr="006B4BBF">
        <w:rPr>
          <w:rFonts w:ascii="Times New Roman" w:hAnsi="Times New Roman" w:cs="Times New Roman"/>
          <w:sz w:val="28"/>
          <w:szCs w:val="28"/>
        </w:rPr>
        <w:t xml:space="preserve"> составил 62% (14 591 чел.*) от общего числа </w:t>
      </w:r>
      <w:proofErr w:type="spellStart"/>
      <w:r w:rsidRPr="006B4BBF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6B4BBF">
        <w:rPr>
          <w:rFonts w:ascii="Times New Roman" w:hAnsi="Times New Roman" w:cs="Times New Roman"/>
          <w:sz w:val="28"/>
          <w:szCs w:val="28"/>
        </w:rPr>
        <w:t xml:space="preserve"> согласно представленным МО реестрам счетов за 2019 – 2021 и первое полугодие 2022 года.</w:t>
      </w:r>
    </w:p>
    <w:p w:rsidR="00053EBE" w:rsidRPr="006B4BBF" w:rsidRDefault="00053EBE" w:rsidP="006B4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 Доля лиц в </w:t>
      </w:r>
      <w:r w:rsidR="002772BE">
        <w:rPr>
          <w:rFonts w:ascii="Times New Roman" w:hAnsi="Times New Roman" w:cs="Times New Roman"/>
          <w:sz w:val="28"/>
          <w:szCs w:val="28"/>
        </w:rPr>
        <w:t xml:space="preserve">модуле «ДН» </w:t>
      </w:r>
      <w:r w:rsidRPr="006B4BBF">
        <w:rPr>
          <w:rFonts w:ascii="Times New Roman" w:hAnsi="Times New Roman" w:cs="Times New Roman"/>
          <w:sz w:val="28"/>
          <w:szCs w:val="28"/>
        </w:rPr>
        <w:t xml:space="preserve">с заболеваниями сердечно-сосудистой </w:t>
      </w:r>
      <w:r w:rsidR="002772B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B4BBF">
        <w:rPr>
          <w:rFonts w:ascii="Times New Roman" w:hAnsi="Times New Roman" w:cs="Times New Roman"/>
          <w:sz w:val="28"/>
          <w:szCs w:val="28"/>
        </w:rPr>
        <w:t>составляет 75% (147 143 чел.</w:t>
      </w:r>
      <w:r w:rsidR="00CE4C70">
        <w:rPr>
          <w:rFonts w:ascii="Times New Roman" w:hAnsi="Times New Roman" w:cs="Times New Roman"/>
          <w:sz w:val="28"/>
          <w:szCs w:val="28"/>
        </w:rPr>
        <w:t>*</w:t>
      </w:r>
      <w:r w:rsidRPr="006B4BBF">
        <w:rPr>
          <w:rFonts w:ascii="Times New Roman" w:hAnsi="Times New Roman" w:cs="Times New Roman"/>
          <w:sz w:val="28"/>
          <w:szCs w:val="28"/>
        </w:rPr>
        <w:t xml:space="preserve">) от общего числа пациентов с </w:t>
      </w:r>
      <w:r w:rsidR="002772BE">
        <w:rPr>
          <w:rFonts w:ascii="Times New Roman" w:hAnsi="Times New Roman" w:cs="Times New Roman"/>
          <w:sz w:val="28"/>
          <w:szCs w:val="28"/>
        </w:rPr>
        <w:t xml:space="preserve">названной группой заболеваний </w:t>
      </w:r>
      <w:r w:rsidRPr="006B4BBF">
        <w:rPr>
          <w:rFonts w:ascii="Times New Roman" w:hAnsi="Times New Roman" w:cs="Times New Roman"/>
          <w:sz w:val="28"/>
          <w:szCs w:val="28"/>
        </w:rPr>
        <w:t>согласно представленным МО реестрам счетов за 2019 – 2021 и первое полугодие 2022 год</w:t>
      </w:r>
      <w:r w:rsidR="00CE4C70">
        <w:rPr>
          <w:rFonts w:ascii="Times New Roman" w:hAnsi="Times New Roman" w:cs="Times New Roman"/>
          <w:sz w:val="28"/>
          <w:szCs w:val="28"/>
        </w:rPr>
        <w:t>а (</w:t>
      </w:r>
      <w:r w:rsidRPr="006B4BBF">
        <w:rPr>
          <w:rFonts w:ascii="Times New Roman" w:hAnsi="Times New Roman" w:cs="Times New Roman"/>
          <w:i/>
          <w:sz w:val="28"/>
          <w:szCs w:val="28"/>
        </w:rPr>
        <w:t>*в</w:t>
      </w:r>
      <w:r w:rsidR="00CE4C70">
        <w:rPr>
          <w:rFonts w:ascii="Times New Roman" w:hAnsi="Times New Roman" w:cs="Times New Roman"/>
          <w:i/>
          <w:sz w:val="28"/>
          <w:szCs w:val="28"/>
        </w:rPr>
        <w:t xml:space="preserve"> модуле «ДН»</w:t>
      </w:r>
      <w:r w:rsidRPr="006B4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C70">
        <w:rPr>
          <w:rFonts w:ascii="Times New Roman" w:hAnsi="Times New Roman" w:cs="Times New Roman"/>
          <w:i/>
          <w:sz w:val="28"/>
          <w:szCs w:val="28"/>
        </w:rPr>
        <w:t xml:space="preserve">застрахованное лицо </w:t>
      </w:r>
      <w:r w:rsidRPr="006B4BBF">
        <w:rPr>
          <w:rFonts w:ascii="Times New Roman" w:hAnsi="Times New Roman" w:cs="Times New Roman"/>
          <w:i/>
          <w:sz w:val="28"/>
          <w:szCs w:val="28"/>
        </w:rPr>
        <w:t>учитываются только 1 раз по одному заболеванию из нескольких, по которым предусмотрено ДН</w:t>
      </w:r>
      <w:r w:rsidR="002772BE">
        <w:rPr>
          <w:rFonts w:ascii="Times New Roman" w:hAnsi="Times New Roman" w:cs="Times New Roman"/>
          <w:i/>
          <w:sz w:val="28"/>
          <w:szCs w:val="28"/>
        </w:rPr>
        <w:t>)</w:t>
      </w:r>
      <w:r w:rsidRPr="006B4BBF">
        <w:rPr>
          <w:rFonts w:ascii="Times New Roman" w:hAnsi="Times New Roman" w:cs="Times New Roman"/>
          <w:i/>
          <w:sz w:val="28"/>
          <w:szCs w:val="28"/>
        </w:rPr>
        <w:t>.</w:t>
      </w:r>
    </w:p>
    <w:p w:rsidR="00053EBE" w:rsidRPr="006B4BBF" w:rsidRDefault="002772BE" w:rsidP="006B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Хабаровским краевым фондом ОМС</w:t>
      </w:r>
      <w:r w:rsidR="00053EBE" w:rsidRPr="006B4BBF">
        <w:rPr>
          <w:rFonts w:ascii="Times New Roman" w:hAnsi="Times New Roman" w:cs="Times New Roman"/>
          <w:sz w:val="28"/>
          <w:szCs w:val="28"/>
        </w:rPr>
        <w:t xml:space="preserve"> в марте 2022 года проведена дополнительная сверка реестров счетов за медицинскую помощь лицам с онкологическими и сердечно-сосудистыми заболеваниями, со сведениями, размещенными в модуле «ДН».</w:t>
      </w:r>
    </w:p>
    <w:p w:rsidR="00053EBE" w:rsidRPr="006B4BBF" w:rsidRDefault="00053EBE" w:rsidP="006B4BBF">
      <w:pPr>
        <w:pStyle w:val="a3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>Выявлено, отсутств</w:t>
      </w:r>
      <w:r w:rsidR="002772BE">
        <w:rPr>
          <w:sz w:val="28"/>
          <w:szCs w:val="28"/>
        </w:rPr>
        <w:t>ие</w:t>
      </w:r>
      <w:r w:rsidRPr="006B4BBF">
        <w:rPr>
          <w:sz w:val="28"/>
          <w:szCs w:val="28"/>
        </w:rPr>
        <w:t xml:space="preserve"> сведени</w:t>
      </w:r>
      <w:r w:rsidR="002772BE">
        <w:rPr>
          <w:sz w:val="28"/>
          <w:szCs w:val="28"/>
        </w:rPr>
        <w:t>й</w:t>
      </w:r>
      <w:r w:rsidRPr="006B4BBF">
        <w:rPr>
          <w:sz w:val="28"/>
          <w:szCs w:val="28"/>
        </w:rPr>
        <w:t xml:space="preserve"> о 9405 чел. с </w:t>
      </w:r>
      <w:proofErr w:type="spellStart"/>
      <w:r w:rsidRPr="006B4BBF">
        <w:rPr>
          <w:sz w:val="28"/>
          <w:szCs w:val="28"/>
        </w:rPr>
        <w:t>онкопатологией</w:t>
      </w:r>
      <w:proofErr w:type="spellEnd"/>
      <w:r w:rsidRPr="006B4BBF">
        <w:rPr>
          <w:sz w:val="28"/>
          <w:szCs w:val="28"/>
        </w:rPr>
        <w:t xml:space="preserve"> и   76 497 чел.- с сердечно-сосудистыми заболеваниями.</w:t>
      </w:r>
    </w:p>
    <w:p w:rsidR="00053EBE" w:rsidRPr="006B4BBF" w:rsidRDefault="00053EBE" w:rsidP="006B4BBF">
      <w:pPr>
        <w:pStyle w:val="a3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 xml:space="preserve">Данные о лицах с названной патологией, сведения о которых отсутствовали в модуле «ДН», направлены в СМО для взаимодействия с МО по анализу (с привлечением страхового представителя 3 уровня) и загрузке сведений в модуль «ДН» (поручение Фонда </w:t>
      </w:r>
      <w:r w:rsidR="002772BE">
        <w:rPr>
          <w:sz w:val="28"/>
          <w:szCs w:val="28"/>
        </w:rPr>
        <w:t>Филиалу от 03.03.</w:t>
      </w:r>
      <w:r w:rsidRPr="006B4BBF">
        <w:rPr>
          <w:sz w:val="28"/>
          <w:szCs w:val="28"/>
        </w:rPr>
        <w:t xml:space="preserve">2022 </w:t>
      </w:r>
      <w:r w:rsidR="002772BE">
        <w:rPr>
          <w:sz w:val="28"/>
          <w:szCs w:val="28"/>
        </w:rPr>
        <w:t>№ 1/ООМС</w:t>
      </w:r>
      <w:r w:rsidRPr="006B4BBF">
        <w:rPr>
          <w:sz w:val="28"/>
          <w:szCs w:val="28"/>
        </w:rPr>
        <w:t xml:space="preserve">). </w:t>
      </w:r>
    </w:p>
    <w:p w:rsidR="00053EBE" w:rsidRPr="006B4BBF" w:rsidRDefault="00053EBE" w:rsidP="006B4BBF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>В апреле Фондом в МО направл</w:t>
      </w:r>
      <w:r w:rsidR="002772BE">
        <w:rPr>
          <w:sz w:val="28"/>
          <w:szCs w:val="28"/>
        </w:rPr>
        <w:t>ялись</w:t>
      </w:r>
      <w:r w:rsidRPr="006B4BBF">
        <w:rPr>
          <w:sz w:val="28"/>
          <w:szCs w:val="28"/>
        </w:rPr>
        <w:t xml:space="preserve"> списки </w:t>
      </w:r>
      <w:r w:rsidR="002772BE">
        <w:rPr>
          <w:sz w:val="28"/>
          <w:szCs w:val="28"/>
        </w:rPr>
        <w:t>застрахованных лиц</w:t>
      </w:r>
      <w:r w:rsidRPr="006B4BBF">
        <w:rPr>
          <w:sz w:val="28"/>
          <w:szCs w:val="28"/>
        </w:rPr>
        <w:t>:</w:t>
      </w:r>
    </w:p>
    <w:p w:rsidR="00053EBE" w:rsidRPr="006B4BBF" w:rsidRDefault="00053EBE" w:rsidP="006B4BBF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>- не проходивших диспансеризацию с 01.01.2020 по 01.01.2022 (из 746 395 человек, не проходивших диспансеризацию, загружено в ПК 315 327 чел. (42,2%);</w:t>
      </w:r>
    </w:p>
    <w:p w:rsidR="00053EBE" w:rsidRPr="006B4BBF" w:rsidRDefault="00053EBE" w:rsidP="006B4BBF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t>- имеющих хронические заболевания по перечню нозологических форм, представляющих наибольший риск для пациентов в отношении роста показателя смертности и обращавшихся за медицинской помощью (из 411 496 человек, обращавшихся за медицинской помощью с 01.01.2020 по 01.01.2022, загружено в ПК 171 962 чел. (41,8%);</w:t>
      </w:r>
    </w:p>
    <w:p w:rsidR="00053EBE" w:rsidRDefault="00053EBE" w:rsidP="006B4BBF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6B4BBF">
        <w:rPr>
          <w:sz w:val="28"/>
          <w:szCs w:val="28"/>
        </w:rPr>
        <w:lastRenderedPageBreak/>
        <w:t>- не обращавшихся за медицинской помощью с 01.01.2020 по 01.01.2022 (из 172 182 человек, не обращавшихся за МП, загружено в ПК: в модуль ДН – 8 788 чел. (5,1%), в модули диспансеризация 1 раз в 3 года, ежегодная, профилактический осмотр – 69 370 (40,3%).</w:t>
      </w:r>
    </w:p>
    <w:p w:rsidR="008C7D02" w:rsidRPr="008C7D02" w:rsidRDefault="000632BC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8C7D02" w:rsidRPr="008C7D02">
        <w:rPr>
          <w:rFonts w:ascii="Times New Roman" w:hAnsi="Times New Roman" w:cs="Times New Roman"/>
          <w:sz w:val="28"/>
          <w:szCs w:val="28"/>
        </w:rPr>
        <w:t>о исполнение поручения заместителя Председателя Правительства Хабаровского края по социальным вопросам Никонова Е.Л., данного по пункту 2.4. решения протокола заседания Оперативного штаба Министерства здравоохранения РФ от 21.07.2022</w:t>
      </w:r>
      <w:r w:rsidR="008C7D02" w:rsidRPr="008C7D0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C7D02" w:rsidRPr="008C7D02">
        <w:rPr>
          <w:rFonts w:ascii="Times New Roman" w:hAnsi="Times New Roman" w:cs="Times New Roman"/>
          <w:sz w:val="28"/>
          <w:szCs w:val="28"/>
        </w:rPr>
        <w:t>,  в части, относящейся к компете</w:t>
      </w:r>
      <w:r>
        <w:rPr>
          <w:rFonts w:ascii="Times New Roman" w:hAnsi="Times New Roman" w:cs="Times New Roman"/>
          <w:sz w:val="28"/>
          <w:szCs w:val="28"/>
        </w:rPr>
        <w:t>нции</w:t>
      </w:r>
      <w:r w:rsidR="008C7D02" w:rsidRPr="008C7D02">
        <w:rPr>
          <w:rFonts w:ascii="Times New Roman" w:hAnsi="Times New Roman" w:cs="Times New Roman"/>
          <w:sz w:val="28"/>
          <w:szCs w:val="28"/>
        </w:rPr>
        <w:t xml:space="preserve"> деятельности в сфере ОМС, и поручения Федерального фонда ОМС  об актуализации сведений о пациентах, состоящих под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8C7D02" w:rsidRPr="008C7D02">
        <w:rPr>
          <w:rFonts w:ascii="Times New Roman" w:hAnsi="Times New Roman" w:cs="Times New Roman"/>
          <w:sz w:val="28"/>
          <w:szCs w:val="28"/>
        </w:rPr>
        <w:t xml:space="preserve">, Фондом в целях оказания содействия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C7D02" w:rsidRPr="008C7D02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8C7D02" w:rsidRPr="008C7D02" w:rsidRDefault="008C7D02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>- По данным принятых к оплате от  МО реестров счетов за период январь-июнь 2022 года осуществлен отбор и анализ сведений на предмет их наличия/отсутствия в модуле «ДН» о лицах:</w:t>
      </w:r>
    </w:p>
    <w:p w:rsidR="008C7D02" w:rsidRPr="008C7D02" w:rsidRDefault="008C7D02" w:rsidP="008C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>- с болезнями системы кровообращения, онкологическими заболеваниями и хроническими заболеваниями, которые предшествуют развитию злокачественных новообразований</w:t>
      </w:r>
      <w:r w:rsidRPr="008C7D02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8C7D02">
        <w:rPr>
          <w:rFonts w:ascii="Times New Roman" w:hAnsi="Times New Roman" w:cs="Times New Roman"/>
          <w:sz w:val="28"/>
          <w:szCs w:val="28"/>
        </w:rPr>
        <w:t>;</w:t>
      </w:r>
    </w:p>
    <w:p w:rsidR="008C7D02" w:rsidRPr="008C7D02" w:rsidRDefault="008C7D02" w:rsidP="008C7D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>- с впервые установленными заболеваниями, подлежащими</w:t>
      </w:r>
      <w:r w:rsidR="000632BC">
        <w:rPr>
          <w:rFonts w:ascii="Times New Roman" w:hAnsi="Times New Roman" w:cs="Times New Roman"/>
          <w:sz w:val="28"/>
          <w:szCs w:val="28"/>
        </w:rPr>
        <w:t xml:space="preserve"> ДН</w:t>
      </w:r>
      <w:r w:rsidRPr="008C7D02">
        <w:rPr>
          <w:rFonts w:ascii="Times New Roman" w:hAnsi="Times New Roman" w:cs="Times New Roman"/>
          <w:sz w:val="28"/>
          <w:szCs w:val="28"/>
        </w:rPr>
        <w:t>.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>-Указанные сведения по защищенному каналу связи направлены Фондом в адрес Филиал</w:t>
      </w:r>
      <w:r w:rsidR="000632BC">
        <w:rPr>
          <w:rFonts w:ascii="Times New Roman" w:hAnsi="Times New Roman" w:cs="Times New Roman"/>
          <w:sz w:val="28"/>
          <w:szCs w:val="28"/>
        </w:rPr>
        <w:t>а</w:t>
      </w:r>
      <w:r w:rsidRPr="008C7D02">
        <w:rPr>
          <w:rFonts w:ascii="Times New Roman" w:hAnsi="Times New Roman" w:cs="Times New Roman"/>
          <w:sz w:val="28"/>
          <w:szCs w:val="28"/>
        </w:rPr>
        <w:t xml:space="preserve"> для взаимодействия с МО по актуализации и загрузке в модуль «ДН» списков лиц, определенных под диспансерное наблюдение.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ХКФОМС анализа сведений, загруженных МО в модуль «ДН» по состоянию на 11.08.2022, </w:t>
      </w:r>
      <w:r w:rsidR="000632BC">
        <w:rPr>
          <w:rFonts w:ascii="Times New Roman" w:hAnsi="Times New Roman" w:cs="Times New Roman"/>
          <w:sz w:val="28"/>
          <w:szCs w:val="28"/>
        </w:rPr>
        <w:t>отмечен</w:t>
      </w:r>
      <w:r w:rsidRPr="008C7D02">
        <w:rPr>
          <w:rFonts w:ascii="Times New Roman" w:hAnsi="Times New Roman" w:cs="Times New Roman"/>
          <w:sz w:val="28"/>
          <w:szCs w:val="28"/>
        </w:rPr>
        <w:t>о.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 xml:space="preserve">Всего Филиалом направлено сведений о 31 104 чел. в 38 МО.  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02">
        <w:rPr>
          <w:rFonts w:ascii="Times New Roman" w:hAnsi="Times New Roman" w:cs="Times New Roman"/>
          <w:sz w:val="28"/>
          <w:szCs w:val="28"/>
        </w:rPr>
        <w:t>Загрузили сведения в модуль «ДН» 25 МО (66% от числа МО, участвующих в проведении</w:t>
      </w:r>
      <w:r w:rsidR="000632BC">
        <w:rPr>
          <w:rFonts w:ascii="Times New Roman" w:hAnsi="Times New Roman" w:cs="Times New Roman"/>
          <w:sz w:val="28"/>
          <w:szCs w:val="28"/>
        </w:rPr>
        <w:t xml:space="preserve"> ДН</w:t>
      </w:r>
      <w:r w:rsidRPr="008C7D02">
        <w:rPr>
          <w:rFonts w:ascii="Times New Roman" w:hAnsi="Times New Roman" w:cs="Times New Roman"/>
          <w:sz w:val="28"/>
          <w:szCs w:val="28"/>
        </w:rPr>
        <w:t>)  о  13 877 чел. (45% от числа направленных СМО в МО), из них: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7D02">
        <w:rPr>
          <w:rFonts w:ascii="Times New Roman" w:hAnsi="Times New Roman" w:cs="Times New Roman"/>
          <w:sz w:val="28"/>
          <w:szCs w:val="28"/>
        </w:rPr>
        <w:t>- с болезнями системы кровообращения – 7 948 чел. (57% от количества актуализированных записей);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7D02">
        <w:rPr>
          <w:rFonts w:ascii="Times New Roman" w:hAnsi="Times New Roman" w:cs="Times New Roman"/>
          <w:sz w:val="28"/>
          <w:szCs w:val="28"/>
        </w:rPr>
        <w:t xml:space="preserve">-  с </w:t>
      </w:r>
      <w:proofErr w:type="spellStart"/>
      <w:r w:rsidRPr="008C7D02">
        <w:rPr>
          <w:rFonts w:ascii="Times New Roman" w:hAnsi="Times New Roman" w:cs="Times New Roman"/>
          <w:sz w:val="28"/>
          <w:szCs w:val="28"/>
        </w:rPr>
        <w:t>онкопатологией</w:t>
      </w:r>
      <w:proofErr w:type="spellEnd"/>
      <w:r w:rsidRPr="008C7D02">
        <w:rPr>
          <w:rFonts w:ascii="Times New Roman" w:hAnsi="Times New Roman" w:cs="Times New Roman"/>
          <w:sz w:val="28"/>
          <w:szCs w:val="28"/>
        </w:rPr>
        <w:t xml:space="preserve"> - 559 чел. (4%); 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7D02">
        <w:rPr>
          <w:rFonts w:ascii="Times New Roman" w:hAnsi="Times New Roman" w:cs="Times New Roman"/>
          <w:sz w:val="28"/>
          <w:szCs w:val="28"/>
        </w:rPr>
        <w:t>- с бронхолегочными заболеваниями – 2 152 чел. (16%);</w:t>
      </w:r>
    </w:p>
    <w:p w:rsidR="008C7D02" w:rsidRPr="008C7D02" w:rsidRDefault="008C7D02" w:rsidP="008C7D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7D02">
        <w:rPr>
          <w:rFonts w:ascii="Times New Roman" w:hAnsi="Times New Roman" w:cs="Times New Roman"/>
          <w:sz w:val="28"/>
          <w:szCs w:val="28"/>
        </w:rPr>
        <w:t>- с заболеваниями эндокринной системы -  817 чел. (6%);</w:t>
      </w:r>
    </w:p>
    <w:p w:rsidR="002772BE" w:rsidRPr="006B4BBF" w:rsidRDefault="008C7D02" w:rsidP="008C7D02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931D3">
        <w:rPr>
          <w:sz w:val="28"/>
          <w:szCs w:val="28"/>
        </w:rPr>
        <w:t xml:space="preserve">- с другими неинфекционными заболеваниями – 2 401 </w:t>
      </w:r>
      <w:r w:rsidRPr="008B7AE5">
        <w:rPr>
          <w:sz w:val="28"/>
          <w:szCs w:val="28"/>
        </w:rPr>
        <w:t xml:space="preserve">чел. (17%)  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В </w:t>
      </w:r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>первом полугодии</w:t>
      </w:r>
      <w:r w:rsidRPr="006B4BBF">
        <w:rPr>
          <w:rFonts w:ascii="Times New Roman" w:hAnsi="Times New Roman" w:cs="Times New Roman"/>
          <w:sz w:val="28"/>
          <w:szCs w:val="28"/>
        </w:rPr>
        <w:t xml:space="preserve"> 2022 года СМО проинформировано о необходимости посещения МО для диспансерного наблюдения 141 105 ЗЛ (100% от запланированных </w:t>
      </w:r>
      <w:r w:rsidR="000632BC">
        <w:rPr>
          <w:rFonts w:ascii="Times New Roman" w:hAnsi="Times New Roman" w:cs="Times New Roman"/>
          <w:sz w:val="28"/>
          <w:szCs w:val="28"/>
        </w:rPr>
        <w:t xml:space="preserve"> МО </w:t>
      </w:r>
      <w:r w:rsidRPr="006B4BBF">
        <w:rPr>
          <w:rFonts w:ascii="Times New Roman" w:hAnsi="Times New Roman" w:cs="Times New Roman"/>
          <w:sz w:val="28"/>
          <w:szCs w:val="28"/>
        </w:rPr>
        <w:t>на 6 месяцев 2022 года в разбивке по месяцам).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При этом согласно группам заболеваний в федеральной отчетности (таблица № 6 Приказа ФОМС № 294)</w:t>
      </w:r>
      <w:r w:rsidRPr="006B4BBF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6B4BBF">
        <w:rPr>
          <w:rFonts w:ascii="Times New Roman" w:hAnsi="Times New Roman" w:cs="Times New Roman"/>
          <w:sz w:val="28"/>
          <w:szCs w:val="28"/>
        </w:rPr>
        <w:t xml:space="preserve"> на болезни системы кровообращения приходится 75% от общего числа проинформированных. 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lastRenderedPageBreak/>
        <w:t>Далее в порядке убывания: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- 8,7% - онкологические заболевания;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4BBF">
        <w:rPr>
          <w:rFonts w:ascii="Times New Roman" w:hAnsi="Times New Roman" w:cs="Times New Roman"/>
          <w:sz w:val="28"/>
          <w:szCs w:val="28"/>
        </w:rPr>
        <w:t>- 8,2% - прочие неинфекционные заболевания;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- 5,5% - заболевания эндокринной системы;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- 2,5% - бронхолегочные заболевания.</w:t>
      </w:r>
    </w:p>
    <w:p w:rsidR="00053EBE" w:rsidRPr="006B4BBF" w:rsidRDefault="00053EBE" w:rsidP="008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BE" w:rsidRPr="006B4BBF" w:rsidRDefault="00053EBE" w:rsidP="006B4B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BBF">
        <w:rPr>
          <w:rFonts w:ascii="Times New Roman" w:hAnsi="Times New Roman" w:cs="Times New Roman"/>
          <w:i/>
          <w:sz w:val="28"/>
          <w:szCs w:val="28"/>
        </w:rPr>
        <w:t>Структура ЗЛ, проинформированных СМО о диспансерном наблюдении, в разрезе заболеваний в сравнении с первым полугодием  2021 года</w:t>
      </w:r>
    </w:p>
    <w:p w:rsidR="00053EBE" w:rsidRPr="006B4BBF" w:rsidRDefault="00053EBE" w:rsidP="00053E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4C2A9" wp14:editId="78ECB10C">
            <wp:extent cx="2762250" cy="1819275"/>
            <wp:effectExtent l="3810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B4B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10987" wp14:editId="5EE756BC">
            <wp:extent cx="2886075" cy="1819275"/>
            <wp:effectExtent l="3810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EBE" w:rsidRPr="002772BE" w:rsidRDefault="00053EBE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BE">
        <w:rPr>
          <w:rFonts w:ascii="Times New Roman" w:hAnsi="Times New Roman" w:cs="Times New Roman"/>
          <w:sz w:val="28"/>
          <w:szCs w:val="28"/>
        </w:rPr>
        <w:t>Выводы по результатам количественного анализа списков ДН</w:t>
      </w:r>
      <w:r w:rsidR="002772BE">
        <w:rPr>
          <w:rFonts w:ascii="Times New Roman" w:hAnsi="Times New Roman" w:cs="Times New Roman"/>
          <w:sz w:val="28"/>
          <w:szCs w:val="28"/>
        </w:rPr>
        <w:t>.</w:t>
      </w:r>
    </w:p>
    <w:p w:rsidR="00053EBE" w:rsidRPr="006B4BBF" w:rsidRDefault="00053EBE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В первом полугодии 2022 года в связи с систематической работой Фонда и СМО по анализу реестров счетов, принятых к оплате от МО, взаимодействием СМО с МО по актуализации списков отмечена положительная динамика загрузки МО в ПК по профилактическим мероприятиям списков лиц, определенных под диспансерное наблюдение (100% МО загрузили списки, при этом в аналогичном периоде 2021 года списки не были загружены двумя МО: КГБУЗ Троицкая ЦРБ, КГБУЗ «</w:t>
      </w:r>
      <w:proofErr w:type="spellStart"/>
      <w:r w:rsidRPr="006B4BBF">
        <w:rPr>
          <w:rFonts w:ascii="Times New Roman" w:hAnsi="Times New Roman" w:cs="Times New Roman"/>
          <w:sz w:val="28"/>
          <w:szCs w:val="28"/>
        </w:rPr>
        <w:t>Бикинская</w:t>
      </w:r>
      <w:proofErr w:type="spellEnd"/>
      <w:r w:rsidRPr="006B4BBF">
        <w:rPr>
          <w:rFonts w:ascii="Times New Roman" w:hAnsi="Times New Roman" w:cs="Times New Roman"/>
          <w:sz w:val="28"/>
          <w:szCs w:val="28"/>
        </w:rPr>
        <w:t xml:space="preserve"> ЦРБ»). В первом полугодии 2021 года было загружено в ПК по профилактическим мероприятиям – 169 494 чел., что на 17% ниже, чем в аналогичном периоде 2022 года.</w:t>
      </w:r>
    </w:p>
    <w:p w:rsidR="00053EBE" w:rsidRPr="006B4BBF" w:rsidRDefault="00053EBE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первым полугодием 2021 года увеличилось количество </w:t>
      </w:r>
      <w:proofErr w:type="spellStart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>онкобольных</w:t>
      </w:r>
      <w:proofErr w:type="spellEnd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взятых под диспансерное наблюдение и загруженных в ПК по профилактическим мероприятиям на 6724 чел. или 46% (число лиц с </w:t>
      </w:r>
      <w:proofErr w:type="spellStart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>онкопатологией</w:t>
      </w:r>
      <w:proofErr w:type="spellEnd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январь-июнь 2021 года составляло 7 867 чел.).</w:t>
      </w:r>
    </w:p>
    <w:p w:rsidR="00053EBE" w:rsidRPr="006B4BBF" w:rsidRDefault="00053EBE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>Также увеличилась доля лиц в ПК с заболеваниями сердечно-сосудистой системы на 11 893 человека (9%) в сравнении с первым полугодием 2021 года.</w:t>
      </w:r>
    </w:p>
    <w:p w:rsidR="00053EBE" w:rsidRPr="006B4BBF" w:rsidRDefault="00053EBE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BF">
        <w:rPr>
          <w:rFonts w:ascii="Times New Roman" w:hAnsi="Times New Roman" w:cs="Times New Roman"/>
          <w:sz w:val="28"/>
          <w:szCs w:val="28"/>
        </w:rPr>
        <w:t xml:space="preserve">Вместе с тем, для выполнения СМО показателя по информированию ЗЛ, находящихся под ДН, в полном объеме (100%), </w:t>
      </w:r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модуль «ДН» МО необходимо </w:t>
      </w:r>
      <w:proofErr w:type="spellStart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>дозагрузить</w:t>
      </w:r>
      <w:proofErr w:type="spellEnd"/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41</w:t>
      </w:r>
      <w:r w:rsidRPr="006B4B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4BBF">
        <w:rPr>
          <w:rFonts w:ascii="Times New Roman" w:hAnsi="Times New Roman" w:cs="Times New Roman"/>
          <w:color w:val="000000" w:themeColor="text1"/>
          <w:sz w:val="28"/>
          <w:szCs w:val="28"/>
        </w:rPr>
        <w:t>999  человек (17% от плана), что на 31 019 чел. (13%) меньше, чем в первом полугодии 2021 года.</w:t>
      </w:r>
    </w:p>
    <w:p w:rsidR="008C7D02" w:rsidRDefault="000632BC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обсуждения представленной информации</w:t>
      </w:r>
    </w:p>
    <w:p w:rsidR="000632BC" w:rsidRPr="00DC3A44" w:rsidRDefault="000632BC" w:rsidP="000632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DC3A44" w:rsidRPr="007A4956" w:rsidRDefault="00DC3A44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7A4956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7A4956">
        <w:rPr>
          <w:rFonts w:ascii="Times New Roman" w:hAnsi="Times New Roman" w:cs="Times New Roman"/>
          <w:sz w:val="28"/>
          <w:szCs w:val="28"/>
        </w:rPr>
        <w:t xml:space="preserve"> Е.В.):</w:t>
      </w:r>
    </w:p>
    <w:p w:rsidR="00DC3A44" w:rsidRDefault="00DC3A44" w:rsidP="00DC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95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4D3485">
        <w:rPr>
          <w:rFonts w:ascii="Times New Roman" w:hAnsi="Times New Roman" w:cs="Times New Roman"/>
          <w:sz w:val="28"/>
          <w:szCs w:val="28"/>
        </w:rPr>
        <w:t>Направить в адрес министерства здравоохранения Хабаровского края</w:t>
      </w:r>
      <w:r w:rsidR="008C3A5B">
        <w:rPr>
          <w:rFonts w:ascii="Times New Roman" w:hAnsi="Times New Roman" w:cs="Times New Roman"/>
          <w:sz w:val="28"/>
          <w:szCs w:val="28"/>
        </w:rPr>
        <w:t>, Хабаровского филиала АО «Страховая компания «СОГАЗ-Мед» сведения о</w:t>
      </w:r>
      <w:r w:rsidR="004D3485" w:rsidRPr="00465FDE">
        <w:rPr>
          <w:rFonts w:ascii="Times New Roman" w:hAnsi="Times New Roman" w:cs="Times New Roman"/>
          <w:sz w:val="28"/>
          <w:szCs w:val="28"/>
        </w:rPr>
        <w:t>б</w:t>
      </w:r>
      <w:r w:rsidR="004D3485">
        <w:rPr>
          <w:rFonts w:ascii="Times New Roman" w:hAnsi="Times New Roman" w:cs="Times New Roman"/>
          <w:sz w:val="28"/>
          <w:szCs w:val="28"/>
        </w:rPr>
        <w:t xml:space="preserve"> информационном сопровождении застрахованных лиц, определенных под диспансерное наблюдение, по данным модуля «Диспансерное наблюдение» программного комплекса по результатам профилактических мероприятий за 1 полугодие 2022 </w:t>
      </w:r>
      <w:r w:rsidR="004D3485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4D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3A5B" w:rsidRDefault="00DC3A44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Срок: август 2022</w:t>
      </w:r>
    </w:p>
    <w:p w:rsidR="008C3A5B" w:rsidRDefault="008C3A5B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Продолжить анализ работы СМО и МО по актуализации списков по диспансерному наблюдению, итоги за 2022 год представить в министерство здравоохранения Хабаровского края и в Хабаровского филиала АО «Страховая компания «СОГАЗ-Мед».</w:t>
      </w:r>
    </w:p>
    <w:p w:rsidR="00DC3A44" w:rsidRDefault="008C3A5B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C3A44" w:rsidRPr="007A4956">
        <w:rPr>
          <w:rFonts w:ascii="Times New Roman" w:hAnsi="Times New Roman" w:cs="Times New Roman"/>
          <w:sz w:val="28"/>
          <w:szCs w:val="28"/>
        </w:rPr>
        <w:t xml:space="preserve"> март 2023</w:t>
      </w:r>
    </w:p>
    <w:p w:rsidR="008C3A5B" w:rsidRDefault="00DC3A44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2. Хабаровскому филиалу АО «Страховая комп</w:t>
      </w:r>
      <w:r>
        <w:rPr>
          <w:rFonts w:ascii="Times New Roman" w:hAnsi="Times New Roman" w:cs="Times New Roman"/>
          <w:sz w:val="28"/>
          <w:szCs w:val="28"/>
        </w:rPr>
        <w:t>ания «СОГАЗ-Мед»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="008C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Н.А.)</w:t>
      </w:r>
      <w:r w:rsidR="008C3A5B">
        <w:rPr>
          <w:rFonts w:ascii="Times New Roman" w:hAnsi="Times New Roman" w:cs="Times New Roman"/>
          <w:sz w:val="28"/>
          <w:szCs w:val="28"/>
        </w:rPr>
        <w:t>:</w:t>
      </w:r>
    </w:p>
    <w:p w:rsidR="00DC3A44" w:rsidRDefault="008230A2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C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3A44">
        <w:rPr>
          <w:rFonts w:ascii="Times New Roman" w:hAnsi="Times New Roman" w:cs="Times New Roman"/>
          <w:sz w:val="28"/>
          <w:szCs w:val="28"/>
        </w:rPr>
        <w:t>родолжить</w:t>
      </w:r>
      <w:r w:rsidR="008C3A5B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A34E50">
        <w:rPr>
          <w:rFonts w:ascii="Times New Roman" w:hAnsi="Times New Roman" w:cs="Times New Roman"/>
          <w:sz w:val="28"/>
          <w:szCs w:val="28"/>
        </w:rPr>
        <w:t xml:space="preserve">страховых представителей 2 и 3 уровней </w:t>
      </w:r>
      <w:r w:rsidR="008C3A5B">
        <w:rPr>
          <w:rFonts w:ascii="Times New Roman" w:hAnsi="Times New Roman" w:cs="Times New Roman"/>
          <w:sz w:val="28"/>
          <w:szCs w:val="28"/>
        </w:rPr>
        <w:t xml:space="preserve">с </w:t>
      </w:r>
      <w:r w:rsidR="004C049C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4C049C" w:rsidRPr="006B4BBF">
        <w:rPr>
          <w:rFonts w:ascii="Times New Roman" w:hAnsi="Times New Roman" w:cs="Times New Roman"/>
          <w:sz w:val="28"/>
          <w:szCs w:val="28"/>
        </w:rPr>
        <w:t>ответственными за профилактические мероприятия</w:t>
      </w:r>
      <w:r w:rsidR="004C049C">
        <w:rPr>
          <w:rFonts w:ascii="Times New Roman" w:hAnsi="Times New Roman" w:cs="Times New Roman"/>
          <w:sz w:val="28"/>
          <w:szCs w:val="28"/>
        </w:rPr>
        <w:t xml:space="preserve"> в </w:t>
      </w:r>
      <w:r w:rsidR="008C3A5B">
        <w:rPr>
          <w:rFonts w:ascii="Times New Roman" w:hAnsi="Times New Roman" w:cs="Times New Roman"/>
          <w:sz w:val="28"/>
          <w:szCs w:val="28"/>
        </w:rPr>
        <w:t>МО</w:t>
      </w:r>
      <w:r w:rsidR="004C049C">
        <w:rPr>
          <w:rFonts w:ascii="Times New Roman" w:hAnsi="Times New Roman" w:cs="Times New Roman"/>
          <w:sz w:val="28"/>
          <w:szCs w:val="28"/>
        </w:rPr>
        <w:t>,</w:t>
      </w:r>
      <w:r w:rsidR="008C3A5B">
        <w:rPr>
          <w:rFonts w:ascii="Times New Roman" w:hAnsi="Times New Roman" w:cs="Times New Roman"/>
          <w:sz w:val="28"/>
          <w:szCs w:val="28"/>
        </w:rPr>
        <w:t xml:space="preserve"> по актуализации списков </w:t>
      </w:r>
      <w:r w:rsidR="00F70C6E">
        <w:rPr>
          <w:rFonts w:ascii="Times New Roman" w:hAnsi="Times New Roman" w:cs="Times New Roman"/>
          <w:sz w:val="28"/>
          <w:szCs w:val="28"/>
        </w:rPr>
        <w:t xml:space="preserve">застрахованных лиц, определенных </w:t>
      </w:r>
      <w:r w:rsidR="008C3A5B">
        <w:rPr>
          <w:rFonts w:ascii="Times New Roman" w:hAnsi="Times New Roman" w:cs="Times New Roman"/>
          <w:sz w:val="28"/>
          <w:szCs w:val="28"/>
        </w:rPr>
        <w:t>по</w:t>
      </w:r>
      <w:r w:rsidR="00F70C6E">
        <w:rPr>
          <w:rFonts w:ascii="Times New Roman" w:hAnsi="Times New Roman" w:cs="Times New Roman"/>
          <w:sz w:val="28"/>
          <w:szCs w:val="28"/>
        </w:rPr>
        <w:t>д</w:t>
      </w:r>
      <w:r w:rsidR="008C3A5B">
        <w:rPr>
          <w:rFonts w:ascii="Times New Roman" w:hAnsi="Times New Roman" w:cs="Times New Roman"/>
          <w:sz w:val="28"/>
          <w:szCs w:val="28"/>
        </w:rPr>
        <w:t xml:space="preserve"> диспансерно</w:t>
      </w:r>
      <w:r w:rsidR="00F70C6E">
        <w:rPr>
          <w:rFonts w:ascii="Times New Roman" w:hAnsi="Times New Roman" w:cs="Times New Roman"/>
          <w:sz w:val="28"/>
          <w:szCs w:val="28"/>
        </w:rPr>
        <w:t>е</w:t>
      </w:r>
      <w:r w:rsidR="008C3A5B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F70C6E">
        <w:rPr>
          <w:rFonts w:ascii="Times New Roman" w:hAnsi="Times New Roman" w:cs="Times New Roman"/>
          <w:sz w:val="28"/>
          <w:szCs w:val="28"/>
        </w:rPr>
        <w:t>е</w:t>
      </w:r>
      <w:r w:rsidR="00DC3A44">
        <w:rPr>
          <w:rFonts w:ascii="Times New Roman" w:hAnsi="Times New Roman" w:cs="Times New Roman"/>
          <w:sz w:val="28"/>
          <w:szCs w:val="28"/>
        </w:rPr>
        <w:t>.</w:t>
      </w:r>
    </w:p>
    <w:p w:rsidR="00DC3A44" w:rsidRDefault="00DC3A44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8230A2">
        <w:rPr>
          <w:rFonts w:ascii="Times New Roman" w:hAnsi="Times New Roman" w:cs="Times New Roman"/>
          <w:sz w:val="28"/>
          <w:szCs w:val="28"/>
        </w:rPr>
        <w:t>ежемесячно</w:t>
      </w:r>
    </w:p>
    <w:p w:rsidR="008230A2" w:rsidRDefault="008230A2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приглашение застрахованных лиц в поликлинику в целях диспансерного приема с возможностью одномоментной записи к врачу.</w:t>
      </w:r>
    </w:p>
    <w:p w:rsidR="005641DE" w:rsidRDefault="005641DE" w:rsidP="0056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8C3A5B" w:rsidRDefault="00DC3A44" w:rsidP="00DC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 xml:space="preserve">3. Руководителям медицинских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ОМС </w:t>
      </w:r>
      <w:r w:rsidR="00A34E50">
        <w:rPr>
          <w:rFonts w:ascii="Times New Roman" w:hAnsi="Times New Roman" w:cs="Times New Roman"/>
          <w:sz w:val="28"/>
          <w:szCs w:val="28"/>
        </w:rPr>
        <w:t>и в п</w:t>
      </w:r>
      <w:r w:rsidR="008C3A5B">
        <w:rPr>
          <w:rFonts w:ascii="Times New Roman" w:hAnsi="Times New Roman" w:cs="Times New Roman"/>
          <w:sz w:val="28"/>
          <w:szCs w:val="28"/>
        </w:rPr>
        <w:t>роведении профилактических мероприятий</w:t>
      </w:r>
      <w:r w:rsidR="00A34E50" w:rsidRPr="00A34E50">
        <w:rPr>
          <w:rFonts w:ascii="Times New Roman" w:hAnsi="Times New Roman" w:cs="Times New Roman"/>
          <w:sz w:val="28"/>
          <w:szCs w:val="28"/>
        </w:rPr>
        <w:t xml:space="preserve"> </w:t>
      </w:r>
      <w:r w:rsidR="00A34E50" w:rsidRPr="007A4956">
        <w:rPr>
          <w:rFonts w:ascii="Times New Roman" w:hAnsi="Times New Roman" w:cs="Times New Roman"/>
          <w:sz w:val="28"/>
          <w:szCs w:val="28"/>
        </w:rPr>
        <w:t>на  территории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3A5B">
        <w:rPr>
          <w:rFonts w:ascii="Times New Roman" w:hAnsi="Times New Roman" w:cs="Times New Roman"/>
          <w:sz w:val="28"/>
          <w:szCs w:val="28"/>
        </w:rPr>
        <w:t>о</w:t>
      </w:r>
      <w:r w:rsidR="00A34E50">
        <w:rPr>
          <w:rFonts w:ascii="Times New Roman" w:hAnsi="Times New Roman" w:cs="Times New Roman"/>
          <w:sz w:val="28"/>
          <w:szCs w:val="28"/>
        </w:rPr>
        <w:t>беспечить:</w:t>
      </w:r>
    </w:p>
    <w:p w:rsidR="00A34E50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Неукоснительное соблюдение требований нормативных правовых актов, регламентирующих организацию и проведение диспансерного наблюдения за взрослыми.</w:t>
      </w:r>
    </w:p>
    <w:p w:rsidR="00A34E50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в соответствии с утвержденными сроками</w:t>
      </w:r>
    </w:p>
    <w:p w:rsidR="00DC3A44" w:rsidRDefault="00A34E50" w:rsidP="00A34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C049C">
        <w:rPr>
          <w:rFonts w:ascii="Times New Roman" w:hAnsi="Times New Roman" w:cs="Times New Roman"/>
          <w:sz w:val="28"/>
          <w:szCs w:val="28"/>
        </w:rPr>
        <w:t xml:space="preserve">Актуализацию </w:t>
      </w:r>
      <w:r w:rsidR="00F70C6E">
        <w:rPr>
          <w:rFonts w:ascii="Times New Roman" w:hAnsi="Times New Roman" w:cs="Times New Roman"/>
          <w:sz w:val="28"/>
          <w:szCs w:val="28"/>
        </w:rPr>
        <w:t>списков застрахованных лиц, определенных под диспансерное наблюдение, в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взаимодействии со страховыми представителями </w:t>
      </w:r>
      <w:r w:rsidR="004C049C">
        <w:rPr>
          <w:rFonts w:ascii="Times New Roman" w:hAnsi="Times New Roman" w:cs="Times New Roman"/>
          <w:sz w:val="28"/>
          <w:szCs w:val="28"/>
        </w:rPr>
        <w:t xml:space="preserve">2 и 3 уровней </w:t>
      </w:r>
      <w:r>
        <w:rPr>
          <w:rFonts w:ascii="Times New Roman" w:hAnsi="Times New Roman" w:cs="Times New Roman"/>
          <w:sz w:val="28"/>
          <w:szCs w:val="28"/>
        </w:rPr>
        <w:t xml:space="preserve">Филиала.  </w:t>
      </w:r>
    </w:p>
    <w:p w:rsidR="00A34E50" w:rsidRDefault="00A34E50" w:rsidP="00A34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A34E50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50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50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50" w:rsidRPr="007A4956" w:rsidRDefault="00A34E50" w:rsidP="00DC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02" w:rsidRDefault="00DC3A44" w:rsidP="00001E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8C7D02" w:rsidRDefault="008C7D02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E50" w:rsidRDefault="00A34E50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E50" w:rsidRDefault="00A34E50" w:rsidP="006B4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EBE" w:rsidRDefault="00053EBE" w:rsidP="006B4BB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772BE" w:rsidRPr="006B4BBF" w:rsidRDefault="002772BE" w:rsidP="006B4BBF">
      <w:pPr>
        <w:pStyle w:val="a3"/>
        <w:ind w:left="0" w:firstLine="709"/>
        <w:jc w:val="both"/>
        <w:rPr>
          <w:b/>
          <w:sz w:val="28"/>
          <w:szCs w:val="28"/>
        </w:rPr>
      </w:pPr>
    </w:p>
    <w:sectPr w:rsidR="002772BE" w:rsidRPr="006B4BBF" w:rsidSect="00053EBE">
      <w:footerReference w:type="default" r:id="rId11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F3" w:rsidRDefault="00C574F3" w:rsidP="00053EBE">
      <w:pPr>
        <w:spacing w:after="0" w:line="240" w:lineRule="auto"/>
      </w:pPr>
      <w:r>
        <w:separator/>
      </w:r>
    </w:p>
  </w:endnote>
  <w:endnote w:type="continuationSeparator" w:id="0">
    <w:p w:rsidR="00C574F3" w:rsidRDefault="00C574F3" w:rsidP="0005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25696"/>
      <w:docPartObj>
        <w:docPartGallery w:val="Page Numbers (Bottom of Page)"/>
        <w:docPartUnique/>
      </w:docPartObj>
    </w:sdtPr>
    <w:sdtEndPr/>
    <w:sdtContent>
      <w:p w:rsidR="006B4BBF" w:rsidRDefault="006B4B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8A">
          <w:rPr>
            <w:noProof/>
          </w:rPr>
          <w:t>5</w:t>
        </w:r>
        <w:r>
          <w:fldChar w:fldCharType="end"/>
        </w:r>
      </w:p>
    </w:sdtContent>
  </w:sdt>
  <w:p w:rsidR="006B4BBF" w:rsidRDefault="006B4B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F3" w:rsidRDefault="00C574F3" w:rsidP="00053EBE">
      <w:pPr>
        <w:spacing w:after="0" w:line="240" w:lineRule="auto"/>
      </w:pPr>
      <w:r>
        <w:separator/>
      </w:r>
    </w:p>
  </w:footnote>
  <w:footnote w:type="continuationSeparator" w:id="0">
    <w:p w:rsidR="00C574F3" w:rsidRDefault="00C574F3" w:rsidP="00053EBE">
      <w:pPr>
        <w:spacing w:after="0" w:line="240" w:lineRule="auto"/>
      </w:pPr>
      <w:r>
        <w:continuationSeparator/>
      </w:r>
    </w:p>
  </w:footnote>
  <w:footnote w:id="1">
    <w:p w:rsidR="0086527A" w:rsidRPr="0086527A" w:rsidRDefault="0086527A" w:rsidP="0086527A">
      <w:pPr>
        <w:pStyle w:val="a4"/>
        <w:jc w:val="both"/>
      </w:pPr>
      <w:r>
        <w:rPr>
          <w:rStyle w:val="a6"/>
        </w:rPr>
        <w:footnoteRef/>
      </w:r>
      <w:r>
        <w:t xml:space="preserve">Раздел </w:t>
      </w:r>
      <w:r>
        <w:rPr>
          <w:lang w:val="en-US"/>
        </w:rPr>
        <w:t>XV</w:t>
      </w:r>
      <w:r>
        <w:t xml:space="preserve"> Правил ОМС, утвержденных </w:t>
      </w:r>
      <w:r w:rsidRPr="0086527A">
        <w:t>Приказ</w:t>
      </w:r>
      <w:r>
        <w:t xml:space="preserve">ом </w:t>
      </w:r>
      <w:r w:rsidRPr="0086527A">
        <w:t xml:space="preserve">Минздрава России от 28.02.2019 </w:t>
      </w:r>
      <w:r>
        <w:t>№</w:t>
      </w:r>
      <w:r w:rsidRPr="0086527A">
        <w:t xml:space="preserve"> 108н "Об утверждении Правил обязательного медицинского страхования" (Зарегистрировано в Минюсте России 17.05.2019 </w:t>
      </w:r>
      <w:r>
        <w:t>№</w:t>
      </w:r>
      <w:r w:rsidRPr="0086527A">
        <w:t xml:space="preserve"> 54643)</w:t>
      </w:r>
    </w:p>
  </w:footnote>
  <w:footnote w:id="2">
    <w:p w:rsidR="00CE4C70" w:rsidRDefault="00CE4C70" w:rsidP="00CE4C7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A643C">
        <w:rPr>
          <w:sz w:val="18"/>
          <w:szCs w:val="18"/>
        </w:rPr>
        <w:t>п. 253 Правил обязательного медицинского страхования, утв. приказом ФФОМС от 28.02.2019 № 108 «Об утверждении Правил обязательного медицинского страхования» (</w:t>
      </w:r>
      <w:r>
        <w:rPr>
          <w:sz w:val="18"/>
          <w:szCs w:val="18"/>
        </w:rPr>
        <w:t>з</w:t>
      </w:r>
      <w:r w:rsidRPr="00EA643C">
        <w:rPr>
          <w:sz w:val="18"/>
          <w:szCs w:val="18"/>
        </w:rPr>
        <w:t>арегистрировано в Минюсте России 17.05.2019 № 54643)</w:t>
      </w:r>
    </w:p>
  </w:footnote>
  <w:footnote w:id="3">
    <w:p w:rsidR="00053EBE" w:rsidRPr="006640EB" w:rsidRDefault="00053EBE" w:rsidP="00053EBE">
      <w:pPr>
        <w:pStyle w:val="a4"/>
        <w:jc w:val="both"/>
        <w:rPr>
          <w:sz w:val="18"/>
          <w:szCs w:val="18"/>
        </w:rPr>
      </w:pPr>
      <w:r w:rsidRPr="006640EB">
        <w:rPr>
          <w:rStyle w:val="a6"/>
          <w:sz w:val="18"/>
          <w:szCs w:val="18"/>
        </w:rPr>
        <w:footnoteRef/>
      </w:r>
      <w:r w:rsidRPr="006640EB">
        <w:rPr>
          <w:sz w:val="18"/>
          <w:szCs w:val="18"/>
        </w:rPr>
        <w:t xml:space="preserve">  письмо ФФОМС от 01.03.2019 № 2425/30-4/и «О поручении Заместителя Председателя Правительства Российской Федерации Т.А. Голиковой  от 14.12.2018 № ТГ-П12-8957;</w:t>
      </w:r>
    </w:p>
    <w:p w:rsidR="00053EBE" w:rsidRPr="006640EB" w:rsidRDefault="00053EBE" w:rsidP="00053EBE">
      <w:pPr>
        <w:pStyle w:val="a4"/>
        <w:jc w:val="both"/>
        <w:rPr>
          <w:rFonts w:asciiTheme="minorHAnsi" w:hAnsiTheme="minorHAnsi" w:cstheme="minorBidi"/>
          <w:sz w:val="18"/>
          <w:szCs w:val="18"/>
        </w:rPr>
      </w:pPr>
      <w:r w:rsidRPr="006640EB">
        <w:rPr>
          <w:sz w:val="18"/>
          <w:szCs w:val="18"/>
        </w:rPr>
        <w:t xml:space="preserve">- приказ ФФОМС 23.07.2019 № 152 «Об установлении формы и порядка ведения отчетности № </w:t>
      </w:r>
      <w:proofErr w:type="gramStart"/>
      <w:r w:rsidRPr="006640EB">
        <w:rPr>
          <w:sz w:val="18"/>
          <w:szCs w:val="18"/>
        </w:rPr>
        <w:t>ПРОФ</w:t>
      </w:r>
      <w:proofErr w:type="gramEnd"/>
      <w:r w:rsidRPr="006640EB">
        <w:rPr>
          <w:sz w:val="18"/>
          <w:szCs w:val="18"/>
        </w:rPr>
        <w:t xml:space="preserve"> «Мониторинг объемов и стоимости первичной медико-санитарной помощи в части профилактических мероприятий»</w:t>
      </w:r>
    </w:p>
  </w:footnote>
  <w:footnote w:id="4">
    <w:p w:rsidR="008C7D02" w:rsidRPr="006643DB" w:rsidRDefault="008C7D02" w:rsidP="008C7D02">
      <w:pPr>
        <w:pStyle w:val="a4"/>
        <w:contextualSpacing/>
        <w:jc w:val="both"/>
        <w:rPr>
          <w:sz w:val="18"/>
          <w:szCs w:val="18"/>
        </w:rPr>
      </w:pPr>
      <w:r w:rsidRPr="006643DB">
        <w:rPr>
          <w:rStyle w:val="a6"/>
          <w:sz w:val="18"/>
          <w:szCs w:val="18"/>
        </w:rPr>
        <w:footnoteRef/>
      </w:r>
      <w:r w:rsidRPr="006643DB">
        <w:rPr>
          <w:sz w:val="18"/>
          <w:szCs w:val="18"/>
        </w:rPr>
        <w:t xml:space="preserve"> Протокол заседания Оперативного штаба Минздрава России о повышении эффективности работы первичного звена здравоохранения по снижению смертности населения от 21.07.2022 № 73/13-7/368</w:t>
      </w:r>
    </w:p>
  </w:footnote>
  <w:footnote w:id="5">
    <w:p w:rsidR="008C7D02" w:rsidRPr="00572106" w:rsidRDefault="008C7D02" w:rsidP="008C7D02">
      <w:pPr>
        <w:pStyle w:val="a4"/>
        <w:contextualSpacing/>
        <w:jc w:val="both"/>
        <w:rPr>
          <w:sz w:val="18"/>
          <w:szCs w:val="18"/>
        </w:rPr>
      </w:pPr>
      <w:r w:rsidRPr="00D337CF">
        <w:rPr>
          <w:rStyle w:val="a6"/>
          <w:sz w:val="18"/>
          <w:szCs w:val="18"/>
        </w:rPr>
        <w:footnoteRef/>
      </w:r>
      <w:r w:rsidRPr="00D337CF">
        <w:rPr>
          <w:sz w:val="18"/>
          <w:szCs w:val="18"/>
        </w:rPr>
        <w:t xml:space="preserve"> </w:t>
      </w:r>
      <w:proofErr w:type="gramStart"/>
      <w:r w:rsidRPr="004C54AE">
        <w:rPr>
          <w:sz w:val="18"/>
          <w:szCs w:val="18"/>
        </w:rPr>
        <w:t>В связи с проведением подготовительных работ по вопросу анонсирования нового порядка проведения диспансерного наблюдения отбор застрахованных лиц, состоящих под диспансерным наблюдением, осуществлялся согласно приложению № 3 к Порядку проведения диспансерного наблюдения за взрослыми, утвержденному приказом Минздрава России от 15.03.2022 № 168н «Об утверждении порядка проведения диспансерного наблюдения за взрослыми» (вступит в силу с 1 сентября 2022 года), в соответствии с Территориальной программой</w:t>
      </w:r>
      <w:proofErr w:type="gramEnd"/>
      <w:r w:rsidRPr="004C54AE">
        <w:rPr>
          <w:sz w:val="18"/>
          <w:szCs w:val="18"/>
        </w:rPr>
        <w:t xml:space="preserve"> </w:t>
      </w:r>
      <w:proofErr w:type="gramStart"/>
      <w:r w:rsidRPr="004C54AE">
        <w:rPr>
          <w:sz w:val="18"/>
          <w:szCs w:val="18"/>
        </w:rPr>
        <w:t>обязательного медицинского страхования (постановление Правительства Хабаровского края от 30.12.2021 № 696-пр (ред. от 30.06.2022)</w:t>
      </w:r>
      <w:proofErr w:type="gramEnd"/>
    </w:p>
  </w:footnote>
  <w:footnote w:id="6">
    <w:p w:rsidR="00053EBE" w:rsidRPr="00520D71" w:rsidRDefault="00053EBE" w:rsidP="00053EBE">
      <w:pPr>
        <w:pStyle w:val="a4"/>
        <w:jc w:val="both"/>
        <w:rPr>
          <w:sz w:val="18"/>
          <w:szCs w:val="18"/>
        </w:rPr>
      </w:pPr>
      <w:r w:rsidRPr="00520D71">
        <w:rPr>
          <w:rStyle w:val="a6"/>
          <w:sz w:val="18"/>
          <w:szCs w:val="18"/>
        </w:rPr>
        <w:footnoteRef/>
      </w:r>
      <w:r w:rsidRPr="00520D71">
        <w:rPr>
          <w:sz w:val="18"/>
          <w:szCs w:val="18"/>
        </w:rPr>
        <w:t xml:space="preserve"> Приказ ФФОМС от 31.12.2013 № 294 (ред. от 09.04.2018) «Об утверждении формы отчетности» (вместе с «Порядком предоставления отчетной формы «Отчет об информационном сопровождении застрахованных лиц при организации оказания им медицинской помощи»)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E87"/>
    <w:multiLevelType w:val="hybridMultilevel"/>
    <w:tmpl w:val="7810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54E1B"/>
    <w:multiLevelType w:val="hybridMultilevel"/>
    <w:tmpl w:val="703AD9B8"/>
    <w:lvl w:ilvl="0" w:tplc="062AC1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A3C62"/>
    <w:multiLevelType w:val="hybridMultilevel"/>
    <w:tmpl w:val="80C0E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D7D5F"/>
    <w:multiLevelType w:val="multilevel"/>
    <w:tmpl w:val="38AA35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3F76A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88"/>
    <w:rsid w:val="00001E71"/>
    <w:rsid w:val="00053EBE"/>
    <w:rsid w:val="000632BC"/>
    <w:rsid w:val="00151F20"/>
    <w:rsid w:val="00243D1A"/>
    <w:rsid w:val="002772BE"/>
    <w:rsid w:val="002F737E"/>
    <w:rsid w:val="0047120C"/>
    <w:rsid w:val="004C049C"/>
    <w:rsid w:val="004D3485"/>
    <w:rsid w:val="005641DE"/>
    <w:rsid w:val="00687FC6"/>
    <w:rsid w:val="006B4BBF"/>
    <w:rsid w:val="00782C88"/>
    <w:rsid w:val="008230A2"/>
    <w:rsid w:val="0086527A"/>
    <w:rsid w:val="008C3A5B"/>
    <w:rsid w:val="008C7D02"/>
    <w:rsid w:val="009E1E46"/>
    <w:rsid w:val="00A34E50"/>
    <w:rsid w:val="00B52298"/>
    <w:rsid w:val="00B82EED"/>
    <w:rsid w:val="00B85315"/>
    <w:rsid w:val="00BB298A"/>
    <w:rsid w:val="00BD798A"/>
    <w:rsid w:val="00C574F3"/>
    <w:rsid w:val="00CE4C70"/>
    <w:rsid w:val="00CF2D7B"/>
    <w:rsid w:val="00D475F5"/>
    <w:rsid w:val="00DC3A44"/>
    <w:rsid w:val="00F70C6E"/>
    <w:rsid w:val="00FA69B2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0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53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53E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5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BBF"/>
  </w:style>
  <w:style w:type="paragraph" w:styleId="ab">
    <w:name w:val="footer"/>
    <w:basedOn w:val="a"/>
    <w:link w:val="ac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0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53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53E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5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BBF"/>
  </w:style>
  <w:style w:type="paragraph" w:styleId="ab">
    <w:name w:val="footer"/>
    <w:basedOn w:val="a"/>
    <w:link w:val="ac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Первое полугодие</a:t>
            </a:r>
            <a:r>
              <a:rPr lang="ru-RU" sz="1300" baseline="0"/>
              <a:t> 2021 года</a:t>
            </a:r>
            <a:endParaRPr lang="ru-RU" sz="1300"/>
          </a:p>
        </c:rich>
      </c:tx>
      <c:layout>
        <c:manualLayout>
          <c:xMode val="edge"/>
          <c:yMode val="edge"/>
          <c:x val="0.1337173519986787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48428020713732E-2"/>
          <c:y val="0.20139939720248906"/>
          <c:w val="0.64365120581354962"/>
          <c:h val="0.798600602797510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  <a:ln>
                <a:solidFill>
                  <a:schemeClr val="accent4"/>
                </a:solidFill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bubble3D val="0"/>
            <c:spPr>
              <a:solidFill>
                <a:srgbClr val="3399FF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-1.4545794914013243E-2"/>
                  <c:y val="3.44301564966760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329532084351523E-2"/>
                  <c:y val="-0.129377361861180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244713691890365E-3"/>
                  <c:y val="-7.9081349567440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9781572748489908E-2"/>
                  <c:y val="-6.22351834672119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0.81399999999999995</c:v>
                </c:pt>
                <c:pt idx="1">
                  <c:v>7.3999999999999996E-2</c:v>
                </c:pt>
                <c:pt idx="2">
                  <c:v>4.7E-2</c:v>
                </c:pt>
                <c:pt idx="3">
                  <c:v>4.3999999999999997E-2</c:v>
                </c:pt>
                <c:pt idx="4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9042118094593774"/>
          <c:y val="0.14720729885104183"/>
          <c:w val="0.3049890985102201"/>
          <c:h val="0.7963323410793162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Первое полугодие 2022</a:t>
            </a:r>
            <a:r>
              <a:rPr lang="ru-RU" sz="1300" baseline="0"/>
              <a:t> года</a:t>
            </a:r>
          </a:p>
        </c:rich>
      </c:tx>
      <c:layout>
        <c:manualLayout>
          <c:xMode val="edge"/>
          <c:yMode val="edge"/>
          <c:x val="0.13619213791996831"/>
          <c:y val="5.361384602963485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47774058619739E-2"/>
          <c:y val="0.18662989576383901"/>
          <c:w val="0.66681256878694617"/>
          <c:h val="0.81337010423616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3399FF"/>
              </a:solidFill>
            </c:spPr>
          </c:dPt>
          <c:dLbls>
            <c:dLbl>
              <c:idx val="1"/>
              <c:layout>
                <c:manualLayout>
                  <c:x val="3.3663366336633663E-3"/>
                  <c:y val="-3.65387310879333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033809292314478E-2"/>
                  <c:y val="-7.77585613455090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631328481482473E-2"/>
                  <c:y val="-9.657043828217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448927270664035"/>
                  <c:y val="-1.8378818528884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%">
                  <c:v>0.75</c:v>
                </c:pt>
                <c:pt idx="1">
                  <c:v>8.2000000000000003E-2</c:v>
                </c:pt>
                <c:pt idx="2">
                  <c:v>5.5E-2</c:v>
                </c:pt>
                <c:pt idx="3">
                  <c:v>8.6999999999999994E-2</c:v>
                </c:pt>
                <c:pt idx="4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2129282623321"/>
          <c:y val="0.1567706761965062"/>
          <c:w val="0.30498898828862753"/>
          <c:h val="0.7879575571346264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973-3AF7-4D0C-B881-D200690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6</cp:revision>
  <dcterms:created xsi:type="dcterms:W3CDTF">2022-08-16T04:45:00Z</dcterms:created>
  <dcterms:modified xsi:type="dcterms:W3CDTF">2022-08-16T04:50:00Z</dcterms:modified>
</cp:coreProperties>
</file>